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60" w:after="0"/>
        <w:jc w:val="right"/>
        <w:rPr>
          <w:sz w:val="20"/>
        </w:rPr>
      </w:pPr>
      <w:r>
        <w:rPr>
          <w:sz w:val="20"/>
        </w:rPr>
        <w:t>Приложение к ТТ</w:t>
      </w:r>
    </w:p>
    <w:p>
      <w:pPr>
        <w:pStyle w:val="Normal"/>
        <w:spacing w:before="60" w:after="0"/>
        <w:rPr>
          <w:sz w:val="20"/>
        </w:rPr>
      </w:pPr>
      <w:r>
        <w:rPr>
          <w:sz w:val="20"/>
        </w:rPr>
      </w:r>
    </w:p>
    <w:p>
      <w:pPr>
        <w:pStyle w:val="Normal"/>
        <w:spacing w:before="1" w:after="0"/>
        <w:ind w:left="1146" w:right="994" w:hanging="0"/>
        <w:jc w:val="center"/>
        <w:rPr>
          <w:u w:val="none"/>
        </w:rPr>
      </w:pPr>
      <w:r>
        <w:rPr>
          <w:b/>
          <w:u w:val="none"/>
        </w:rPr>
        <w:t>ТЕХНИЧЕСКИ</w:t>
      </w:r>
      <w:r>
        <w:rPr>
          <w:b/>
          <w:spacing w:val="-2"/>
          <w:u w:val="none"/>
        </w:rPr>
        <w:t>Е ХАРАКТЕРИСТИКИ</w:t>
      </w:r>
      <w:r>
        <w:rPr>
          <w:b/>
          <w:spacing w:val="-4"/>
          <w:u w:val="none"/>
        </w:rPr>
        <w:t xml:space="preserve"> РЕКЛОУЗЕРОВ </w:t>
      </w:r>
    </w:p>
    <w:p>
      <w:pPr>
        <w:pStyle w:val="BodyText"/>
        <w:spacing w:before="205" w:after="120"/>
        <w:rPr>
          <w:sz w:val="18"/>
        </w:rPr>
      </w:pPr>
      <w:r>
        <w:rPr>
          <w:sz w:val="18"/>
        </w:rPr>
      </w:r>
    </w:p>
    <w:tbl>
      <w:tblPr>
        <w:tblpPr w:bottomFromText="0" w:horzAnchor="margin" w:leftFromText="180" w:rightFromText="180" w:tblpX="0" w:tblpY="576" w:topFromText="0" w:vertAnchor="page"/>
        <w:tblW w:w="10583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827"/>
        <w:gridCol w:w="4656"/>
        <w:gridCol w:w="2836"/>
        <w:gridCol w:w="2263"/>
      </w:tblGrid>
      <w:tr>
        <w:trPr>
          <w:trHeight w:val="380" w:hRule="atLeast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b/>
                <w:bCs/>
                <w:kern w:val="0"/>
                <w:sz w:val="24"/>
                <w:szCs w:val="24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№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 w:eastAsia="Times New Roman" w:cs="Times New Roman"/>
                <w:b/>
                <w:bCs/>
                <w:kern w:val="0"/>
                <w:sz w:val="24"/>
                <w:szCs w:val="24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пп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Требование заказчика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eastAsia="Times New Roman" w:cs="Times New Roman" w:ascii="Liberation Serif" w:hAnsi="Liberation Serif"/>
                <w:b/>
                <w:b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Предложение участника</w:t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60" w:after="0"/>
              <w:ind w:left="-108" w:right="-108" w:hanging="0"/>
              <w:jc w:val="center"/>
              <w:rPr>
                <w:rFonts w:ascii="Liberation Serif" w:hAnsi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  <w:t>1.</w:t>
            </w:r>
          </w:p>
        </w:tc>
        <w:tc>
          <w:tcPr>
            <w:tcW w:w="975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0"/>
              <w:ind w:left="-108" w:right="-108" w:hanging="0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sz w:val="24"/>
                <w:szCs w:val="24"/>
              </w:rPr>
              <w:t>Общие требования</w:t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1.1.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Номинальное первичное напряжение, кВ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0"/>
              <w:ind w:left="-108" w:right="-108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  <w:t>10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0"/>
              <w:ind w:left="-108" w:right="-108" w:hanging="0"/>
              <w:jc w:val="center"/>
              <w:rPr>
                <w:rFonts w:ascii="Liberation Serif" w:hAnsi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1.2.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0"/>
              <w:ind w:left="-108" w:right="-108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  <w:t>11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0"/>
              <w:ind w:left="-108" w:right="-108" w:hanging="0"/>
              <w:jc w:val="center"/>
              <w:rPr>
                <w:rFonts w:ascii="Liberation Serif" w:hAnsi="Liberation Serif"/>
                <w:bCs/>
                <w:color w:val="0070C0"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color w:val="0070C0"/>
                <w:sz w:val="24"/>
                <w:szCs w:val="24"/>
              </w:rPr>
            </w:r>
          </w:p>
        </w:tc>
      </w:tr>
      <w:tr>
        <w:trPr>
          <w:trHeight w:val="327" w:hRule="atLeast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1.3.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Номинальный ток, А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0"/>
              <w:ind w:left="-108" w:right="-108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  <w:t>630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bidi w:val="0"/>
              <w:spacing w:before="60" w:after="0"/>
              <w:ind w:left="1304" w:right="0" w:hanging="0"/>
              <w:jc w:val="center"/>
              <w:rPr>
                <w:rFonts w:ascii="Liberation Serif" w:hAnsi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1.4.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Номинальный ток отключения, кА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0"/>
              <w:ind w:left="-108" w:right="-108" w:hanging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  <w:t>12,5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0"/>
              <w:ind w:left="-108" w:right="-108" w:hanging="0"/>
              <w:jc w:val="center"/>
              <w:rPr>
                <w:rFonts w:ascii="Liberation Serif" w:hAnsi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1.5.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Состав комплекта поставки реклоузера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2"/>
              </w:numPr>
              <w:spacing w:before="60" w:after="0"/>
              <w:ind w:left="182" w:hanging="182"/>
              <w:contextualSpacing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Коммутационный модуль (1 шт.)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ind w:left="182" w:hanging="182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Шкаф управления (1 шт.)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ind w:left="182" w:hanging="182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Соединительное устройство (1 шт.)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ind w:left="182" w:hanging="182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Трансформатор собственных нужд (1 шт.)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ind w:left="182" w:hanging="182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Ограничители перенапряжений нелинейные (6 шт.)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ind w:left="182" w:hanging="182"/>
              <w:rPr>
                <w:highlight w:val="none"/>
                <w:shd w:fill="auto" w:val="clear"/>
              </w:rPr>
            </w:pPr>
            <w:r>
              <w:rPr>
                <w:rFonts w:ascii="Liberation Serif" w:hAnsi="Liberation Serif"/>
                <w:sz w:val="24"/>
                <w:szCs w:val="24"/>
                <w:shd w:fill="auto" w:val="clear"/>
              </w:rPr>
              <w:t>Разъединитель (1 шт.)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ind w:left="182" w:hanging="182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Монтажный комплект (1 комп.)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ind w:left="182" w:hanging="182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 методику расчету уставок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ind w:left="182" w:hanging="182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 руководство по эксплуатации на русском языке</w:t>
            </w:r>
          </w:p>
          <w:p>
            <w:pPr>
              <w:pStyle w:val="ListParagraph"/>
              <w:widowControl w:val="false"/>
              <w:numPr>
                <w:ilvl w:val="0"/>
                <w:numId w:val="2"/>
              </w:numPr>
              <w:ind w:left="182" w:hanging="182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 Программное обеспечение для технического обслуживания на русском языке совместимое с Linux и Альтер ОС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spacing w:before="60" w:after="0"/>
              <w:ind w:left="720" w:hanging="0"/>
              <w:contextualSpacing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1.6.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Коммутационное оборудование не должно требовать проведения плановых ремонтов на протяжении всего срока эксплуатации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1.7.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Декларация о соответствии требованиям ГОСТ на оборудование должна быть зарегистрирована на основе протокола испытаний, выданного лабораторией, аккредитованной в Федеральной службе по аккредитации </w:t>
            </w:r>
            <w:r>
              <w:rPr>
                <w:rFonts w:ascii="Liberation Serif" w:hAnsi="Liberation Serif"/>
                <w:iCs/>
                <w:sz w:val="24"/>
                <w:szCs w:val="24"/>
              </w:rPr>
              <w:t>с внесением соответствующей продукции в область аккредитации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iCs/>
                <w:sz w:val="24"/>
                <w:szCs w:val="24"/>
              </w:rPr>
            </w:pPr>
            <w:r>
              <w:rPr>
                <w:rFonts w:ascii="Liberation Serif" w:hAnsi="Liberation Serif"/>
                <w:iCs/>
                <w:sz w:val="24"/>
                <w:szCs w:val="24"/>
              </w:rPr>
              <w:t>1.8.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iCs/>
                <w:sz w:val="24"/>
                <w:szCs w:val="24"/>
              </w:rPr>
              <w:t>Технические параметры оборудования, указанные участником в конкурсной заявке, должны быть подтверждены протоколами испытаний, перечень которых определен ГОСТ Р 52565-2006 или ГОСТ 14693-90 (в зависимости от типа предлагаемого к поставке оборудования).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iCs/>
                <w:sz w:val="24"/>
                <w:szCs w:val="24"/>
              </w:rPr>
              <w:t>Протоколы должны быть выданы испытательными лабораториями, аккредитованными в Федеральной службе по аккредитации с внесением соответствующей продукции в область аккредитации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iCs/>
                <w:sz w:val="24"/>
                <w:szCs w:val="24"/>
              </w:rPr>
            </w:pPr>
            <w:r>
              <w:rPr>
                <w:rFonts w:ascii="Liberation Serif" w:hAnsi="Liberation Serif"/>
                <w:iCs/>
                <w:sz w:val="24"/>
                <w:szCs w:val="24"/>
              </w:rPr>
              <w:t>1.9.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Оборудование должно производиться на территории РФ (должно быть внесено в «Реестр промышленной продукции, произведенной на территории РФ»)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 xml:space="preserve">Да, </w:t>
            </w:r>
            <w:r>
              <w:rPr>
                <w:rFonts w:ascii="Liberation Serif" w:hAnsi="Liberation Serif"/>
                <w:iCs/>
                <w:sz w:val="24"/>
                <w:szCs w:val="24"/>
              </w:rPr>
              <w:t xml:space="preserve">указать </w:t>
              <w:br/>
              <w:t xml:space="preserve">реестровый номер и срок действия Заключения </w:t>
            </w:r>
            <w:bookmarkStart w:id="0" w:name="_GoBack"/>
            <w:bookmarkEnd w:id="0"/>
            <w:r>
              <w:rPr>
                <w:rFonts w:ascii="Liberation Serif" w:hAnsi="Liberation Serif"/>
                <w:iCs/>
                <w:sz w:val="24"/>
                <w:szCs w:val="24"/>
              </w:rPr>
              <w:t>.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color w:val="0070C0"/>
                <w:sz w:val="24"/>
                <w:szCs w:val="24"/>
              </w:rPr>
            </w:pPr>
            <w:r>
              <w:rPr>
                <w:rFonts w:ascii="Liberation Serif" w:hAnsi="Liberation Serif"/>
                <w:color w:val="0070C0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1.10.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По всем видам оборудования Поставщик должен предоставить полный комплект технической и эксплуатационной  документации на русском языке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1.11.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Климатическое исполнение и категория размещения оборудования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Liberation Serif" w:hAnsi="Liberation Serif"/>
                <w:sz w:val="24"/>
                <w:szCs w:val="24"/>
                <w:shd w:fill="auto" w:val="clear"/>
              </w:rPr>
              <w:t>У 1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1.12.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Стойкость к механическим внешним воздействиям, группа по ГОСТ 17516.1, не ниже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М6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1.13.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Верхнее значение относительной влажности воздуха при температуре 25° С, не менее, %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1.14.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Допустимое значение скорости ветра в условиях отсутствия гололеда, не менее, м/с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1.15.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Допустимое значение скорости ветра в условиях гололеда (толщина корки льда до 20 мм), не менее, м/с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15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1.16.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Наибольшая высота эксплуатации над уровнем моря, не менее, м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1000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1.17.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Номинальная частота переменного тока, Гц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50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Cs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1.18.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Срок службы оборудования, не менее, лет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1.19.</w:t>
            </w:r>
          </w:p>
        </w:tc>
        <w:tc>
          <w:tcPr>
            <w:tcW w:w="4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Гарантийный срок на оборудование, не менее, лет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975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Требования к коммутационному модулю</w:t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Номинальный ток, А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630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2.4.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Номинальный ток отключения, кА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12,5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2.5.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Сквозной ток короткого замыкания: наибольший пик (ток электродинамической стойкости), кА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2.6.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Сквозной ток короткого замыкания: среднеквадратичное значение тока за время его протекания (ток термической стойкости), кА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12,5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2.7.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Время протекания тока короткого замыкания, с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2.8.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Тип привода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Электромагнитный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2.9.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Коммутационный ресурс циклов «ВО», при номинальном токе, не менее 30000, при номинальном токе отключения, операций «О», не менее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25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2.10.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Собственное время включения, не более, мс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43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2.11.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Собственное время отключения, не более, мс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2.12.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Испытательное напряжение грозового импульса, кВ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75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2.13.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Электрическое сопротивление главной цепи полюса, не более, мкОм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40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2.14.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Наличие встроенных датчиков тока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highlight w:val="none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2.15.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highlight w:val="none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Наличие встроенных датчиков напряжения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Liberation Serif" w:hAnsi="Liberation Serif"/>
                <w:sz w:val="24"/>
                <w:szCs w:val="24"/>
                <w:shd w:fill="auto" w:val="clear"/>
              </w:rPr>
              <w:t>да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highlight w:val="none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2.16.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55" w:hanging="0"/>
              <w:contextualSpacing/>
              <w:jc w:val="left"/>
              <w:rPr>
                <w:highlight w:val="none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Масса коммутационного модуля, не более, кг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0" w:after="0"/>
              <w:ind w:left="55" w:hanging="0"/>
              <w:contextualSpacing/>
              <w:jc w:val="left"/>
              <w:rPr>
                <w:highlight w:val="none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 xml:space="preserve">                  </w:t>
            </w: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125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2.17.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55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ТСН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Liberation Serif" w:hAnsi="Liberation Serif"/>
                <w:b/>
                <w:bCs/>
                <w:color w:val="000000"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975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Требования к шкафу управления</w:t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highlight w:val="none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Напряжение оперативного питания AC (переменный ток) В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100, 127</w:t>
            </w:r>
          </w:p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110/220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3.2.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Допустимое отклонение напряжения оперативного питания, %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3.3.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Потребляемая мощность, ВА, не более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20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3.4.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Максимальная потребляемая мощность в режиме подготовки к включению, ВА, не более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60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3.5.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Время работоспособного состояния после потери основного питания от внешних цепей при нормальных климатических условиях (с устройством связи), не менее, ч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24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3.6.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Электрическое сопротивление главной цепи, мкОм, не более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90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3.7.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Наличие встроенного технического учета электроэнергии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3.8.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Датчик открытия двери ШУ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3.9.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Диапазон измерения тока, А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10-10000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3.10.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Диапазон измерения напряжения, кВ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0,5-18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3.11.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Рабочий диапазон частот устройства РЗиА, Гц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45-55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3.12.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Время сохранения работоспособности устройства РЗиА при отсутствии оперативного питания, включая провалы напряжения (при неработающей АКБ), с, не менее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3.13.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Междуфазные токовые защиты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 ступени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3.14.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Защиты от замыканий на землю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3.15.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Направленность защит да для всех токовых защит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3.16.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Контроль напряжения Со стороны питания при любом положении выключателя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3.17.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Возможность отображения на панели управления состояния защит, активной группы уставок, режима управления. Индикация неисправности оперативного тока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3.18.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Возможность регистрации параметров в журналах: рабочее напряжение (фазное, линейное); ток пофазно; активную, реактивную, полную мощность; ток нейтрали; максимальное, минимальное напряжение (фазное, линейное)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Liberation Serif" w:hAnsi="Liberation Serif"/>
                <w:sz w:val="24"/>
                <w:szCs w:val="24"/>
                <w:shd w:fill="auto" w:val="clear"/>
              </w:rPr>
              <w:t>3.19.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highlight w:val="none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Контроль работы РЗА Устройство РЗА должно выполнять осциллографирование с фиксацией графических величин токов и напряжений с возможность конвертирования в формат Comtrade, фиксировать неисправность оперативного тока на фасаде шкафа для оперативного персонала.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Liberation Serif" w:hAnsi="Liberation Serif"/>
                <w:sz w:val="24"/>
                <w:szCs w:val="24"/>
                <w:shd w:fill="auto" w:val="clear"/>
              </w:rPr>
              <w:t>да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3.20.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Ступень селективности, с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0,2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3.21.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Автоматика повторного включения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0" w:after="0"/>
              <w:ind w:left="55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да (до 3 ступеней)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3.22.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Количество групп уставок защит, шт., не менее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3.23.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Отстройка от пусковых токов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3.24.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Разные ступени МТЗ в циклах АПВ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3.25.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Дистанционное управление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3.26.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Местное управление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0" w:after="0"/>
              <w:ind w:left="55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Беспроводное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3.27.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Интеграция в SCADA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3.28.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Протокол передачи данных MODBUS МЭК 60870-5-104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3.29.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Протокол синхронизации времени устройства РЗиА NTP/SNTP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3.30.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Возможность изменения адресного поля протоколов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3.31.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интерфейс связи RS232; RS485; Ethernet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3.32.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Наличие модуля дискретных входов-выходов 2шт.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3.33.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color w:val="000000"/>
              </w:rPr>
              <w:t xml:space="preserve">Укомплектованность устройством передачи данных IRZ RL21 или аналогичным GSM/GPRS/3G/4G </w:t>
            </w:r>
            <w:r>
              <w:rPr>
                <w:color w:val="000000"/>
              </w:rPr>
              <w:t>﻿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3.34.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Подключаемые устройства передачи данных (минимальные требования) GSM/GPRS/3G/4G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3.35.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Наличие выхода для гарантированного питания устройства связи 12 В, 20 Вт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3.36.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Ведение журналов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3.37.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Ведение журналов аварийных режимов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3.38.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Возможность осциллографирования с функцией предзаписи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3.39.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Самодиагностика функционирования основных модулей и элементов шкафов управления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3.40.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Встроенная герметичная аккумуляторная батарея ёмкостью, А*ч, не менее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16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3.41.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Возможность контроля заряда батареи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spacing w:before="0" w:after="0"/>
              <w:ind w:left="55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Да (местное и дистанционно)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3.42.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Срок службы АКБ, лет, не менее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10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3.43.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30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3.44.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Коммутационное оборудования не требует обслуживания в течение всего срока службы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3.45.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Требования к РЗиА реклоузера:</w:t>
            </w:r>
          </w:p>
          <w:p>
            <w:pPr>
              <w:pStyle w:val="ListParagraph"/>
              <w:widowControl w:val="false"/>
              <w:spacing w:before="0" w:after="0"/>
              <w:ind w:left="55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- Защита от междуфазных КЗ – 3 ступени</w:t>
            </w:r>
          </w:p>
          <w:p>
            <w:pPr>
              <w:pStyle w:val="ListParagraph"/>
              <w:widowControl w:val="false"/>
              <w:spacing w:before="0" w:after="0"/>
              <w:ind w:left="55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- Ускорение при включении – МТЗ</w:t>
            </w:r>
          </w:p>
          <w:p>
            <w:pPr>
              <w:pStyle w:val="ListParagraph"/>
              <w:widowControl w:val="false"/>
              <w:spacing w:before="0" w:after="0"/>
              <w:ind w:left="55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- Автоматическое повторное включение</w:t>
            </w:r>
          </w:p>
          <w:p>
            <w:pPr>
              <w:pStyle w:val="ListParagraph"/>
              <w:widowControl w:val="false"/>
              <w:spacing w:before="0" w:after="0"/>
              <w:ind w:left="55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- Защита от однофазных замыканий на землю</w:t>
            </w:r>
          </w:p>
          <w:p>
            <w:pPr>
              <w:pStyle w:val="ListParagraph"/>
              <w:widowControl w:val="false"/>
              <w:spacing w:before="0" w:after="0"/>
              <w:ind w:left="55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- Автоматическая частотная разгрузка</w:t>
            </w:r>
          </w:p>
          <w:p>
            <w:pPr>
              <w:pStyle w:val="ListParagraph"/>
              <w:widowControl w:val="false"/>
              <w:spacing w:before="0" w:after="0"/>
              <w:ind w:left="55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- Автоматическое повторное включение после АЧР</w:t>
            </w:r>
          </w:p>
          <w:p>
            <w:pPr>
              <w:pStyle w:val="ListParagraph"/>
              <w:widowControl w:val="false"/>
              <w:spacing w:before="0" w:after="0"/>
              <w:ind w:left="55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- Защита от обрыва фазы по напряжению обратной последовательности</w:t>
            </w:r>
          </w:p>
          <w:p>
            <w:pPr>
              <w:pStyle w:val="ListParagraph"/>
              <w:widowControl w:val="false"/>
              <w:spacing w:before="0" w:after="0"/>
              <w:ind w:left="55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- Защиты от обрыва фазы по току обратной последовательности</w:t>
            </w:r>
          </w:p>
          <w:p>
            <w:pPr>
              <w:pStyle w:val="ListParagraph"/>
              <w:widowControl w:val="false"/>
              <w:spacing w:before="0" w:after="0"/>
              <w:ind w:left="55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МТЗ режима «Работа на линии»</w:t>
            </w:r>
          </w:p>
          <w:p>
            <w:pPr>
              <w:pStyle w:val="ListParagraph"/>
              <w:widowControl w:val="false"/>
              <w:spacing w:before="0" w:after="0"/>
              <w:ind w:left="55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- Защита от потери питания (ЗПП)</w:t>
            </w:r>
          </w:p>
          <w:p>
            <w:pPr>
              <w:pStyle w:val="ListParagraph"/>
              <w:widowControl w:val="false"/>
              <w:spacing w:before="0" w:after="0"/>
              <w:ind w:left="55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- Контроль напряжения при АПВ и оперативном включении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3.46.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Измерение тока- датчики (трансформаторы тока) должны иметь линейную характеристику измерения во всем диапазоне измерений и встроены в корпус коммутационного модуля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3.47.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Индикации на дисплее - Возможность индикации на дисплее шкафа управления параметров измерения (ток, напряжение, мощность), положение защит, состояние коммутационного модуля, чтение журналов.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  <w:highlight w:val="none"/>
                <w:shd w:fill="auto" w:val="clear"/>
              </w:rPr>
            </w:pPr>
            <w:r>
              <w:rPr>
                <w:rFonts w:ascii="Liberation Serif" w:hAnsi="Liberation Serif"/>
                <w:sz w:val="24"/>
                <w:szCs w:val="24"/>
                <w:shd w:fill="auto" w:val="clear"/>
              </w:rPr>
              <w:t>3.48.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highlight w:val="none"/>
                <w:shd w:fill="auto" w:val="clear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  <w:shd w:fill="auto" w:val="clear"/>
              </w:rPr>
              <w:t>Масса шкафа управления, не более, кг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highlight w:val="none"/>
                <w:shd w:fill="auto" w:val="clear"/>
              </w:rPr>
            </w:pPr>
            <w:r>
              <w:rPr>
                <w:rFonts w:ascii="Liberation Serif" w:hAnsi="Liberation Serif"/>
                <w:sz w:val="24"/>
                <w:szCs w:val="24"/>
                <w:shd w:fill="auto" w:val="clear"/>
              </w:rPr>
              <w:t>40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975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Liberation Serif" w:hAnsi="Liberation Serif"/>
                <w:b/>
                <w:bCs/>
                <w:sz w:val="24"/>
                <w:szCs w:val="24"/>
              </w:rPr>
            </w:pPr>
            <w:r>
              <w:rPr>
                <w:rFonts w:ascii="Liberation Serif" w:hAnsi="Liberation Serif"/>
                <w:b/>
                <w:bCs/>
                <w:sz w:val="24"/>
                <w:szCs w:val="24"/>
              </w:rPr>
              <w:t>Требования на  соединительное устройство</w:t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4.1.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Предназначено для подключения коммутационного модуля к шкафу управления цепей управления и измерения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4.2.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Представляет собой гибкую гофрированную металлическую трубку в полимерной оболочке, внутри которой располагаются контрольные кабели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4.3.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Испытательное напряжение, кВ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0,5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4.4.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Длительность приложения испытательного напряжения, мин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  <w:tr>
        <w:trPr>
          <w:trHeight w:val="380" w:hRule="atLeast"/>
        </w:trPr>
        <w:tc>
          <w:tcPr>
            <w:tcW w:w="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4.5.</w:t>
            </w:r>
          </w:p>
        </w:tc>
        <w:tc>
          <w:tcPr>
            <w:tcW w:w="46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pacing w:before="0" w:after="0"/>
              <w:ind w:left="0" w:hanging="0"/>
              <w:contextualSpacing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Сопротивление изоляции, МОм, не менее</w:t>
            </w:r>
          </w:p>
        </w:tc>
        <w:tc>
          <w:tcPr>
            <w:tcW w:w="283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</w:t>
            </w:r>
          </w:p>
        </w:tc>
        <w:tc>
          <w:tcPr>
            <w:tcW w:w="22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before="60"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jc w:val="left"/>
        <w:rPr>
          <w:b/>
          <w:bCs/>
          <w:i/>
          <w:i/>
          <w:iCs/>
        </w:rPr>
      </w:pPr>
      <w:r>
        <w:rPr>
          <w:b/>
          <w:bCs/>
          <w:i/>
          <w:iCs/>
        </w:rPr>
        <w:t>Начальник СЛЭП                                                                                                          Д.И. Кузнецов</w:t>
      </w:r>
    </w:p>
    <w:p>
      <w:pPr>
        <w:pStyle w:val="Normal"/>
        <w:rPr/>
      </w:pPr>
      <w:r>
        <w:rPr/>
      </w:r>
    </w:p>
    <w:p>
      <w:pPr>
        <w:pStyle w:val="Normal"/>
        <w:ind w:hanging="1134"/>
        <w:rPr>
          <w:szCs w:val="28"/>
        </w:rPr>
      </w:pPr>
      <w:r>
        <w:rPr/>
        <w:t xml:space="preserve">                  </w:t>
      </w:r>
      <w:r>
        <w:rPr>
          <w:szCs w:val="28"/>
        </w:rPr>
        <w:t xml:space="preserve">  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850" w:right="425" w:gutter="0" w:header="0" w:top="1180" w:footer="0" w:bottom="28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34d74"/>
    <w:pPr>
      <w:widowControl/>
      <w:suppressAutoHyphens w:val="true"/>
      <w:bidi w:val="0"/>
      <w:spacing w:before="60" w:after="0"/>
      <w:jc w:val="both"/>
    </w:pPr>
    <w:rPr>
      <w:rFonts w:ascii="Times New Roman" w:hAnsi="Times New Roman" w:eastAsia="Times New Roman" w:cs="Times New Roman"/>
      <w:color w:val="00000A"/>
      <w:kern w:val="0"/>
      <w:sz w:val="26"/>
      <w:szCs w:val="20"/>
      <w:lang w:val="ru-RU" w:eastAsia="ru-RU" w:bidi="ar-SA"/>
    </w:rPr>
  </w:style>
  <w:style w:type="paragraph" w:styleId="Heading1">
    <w:name w:val="Heading 1"/>
    <w:basedOn w:val="Normal"/>
    <w:uiPriority w:val="9"/>
    <w:qFormat/>
    <w:rsid w:val="00093c4f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8" w:customStyle="1">
    <w:name w:val="Текст выноски Знак"/>
    <w:basedOn w:val="DefaultParagraphFont"/>
    <w:uiPriority w:val="99"/>
    <w:semiHidden/>
    <w:qFormat/>
    <w:rsid w:val="006a159d"/>
    <w:rPr>
      <w:rFonts w:ascii="Segoe UI" w:hAnsi="Segoe UI" w:eastAsia="Times New Roman" w:cs="Segoe UI"/>
      <w:sz w:val="18"/>
      <w:szCs w:val="18"/>
      <w:lang w:eastAsia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9c2f8b"/>
    <w:rPr>
      <w:sz w:val="16"/>
      <w:szCs w:val="16"/>
    </w:rPr>
  </w:style>
  <w:style w:type="character" w:styleId="Style9" w:customStyle="1">
    <w:name w:val="Текст примечания Знак"/>
    <w:basedOn w:val="DefaultParagraphFont"/>
    <w:uiPriority w:val="99"/>
    <w:semiHidden/>
    <w:qFormat/>
    <w:rsid w:val="009c2f8b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0" w:customStyle="1">
    <w:name w:val="Тема примечания Знак"/>
    <w:basedOn w:val="Style9"/>
    <w:uiPriority w:val="99"/>
    <w:semiHidden/>
    <w:qFormat/>
    <w:rsid w:val="009c2f8b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1" w:customStyle="1">
    <w:name w:val="Заголовок 1 Знак"/>
    <w:basedOn w:val="DefaultParagraphFont"/>
    <w:uiPriority w:val="9"/>
    <w:qFormat/>
    <w:rsid w:val="00093c4f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  <w:lang w:eastAsia="ru-RU"/>
    </w:rPr>
  </w:style>
  <w:style w:type="character" w:styleId="Style11" w:customStyle="1">
    <w:name w:val="Абзац списка Знак"/>
    <w:uiPriority w:val="34"/>
    <w:qFormat/>
    <w:locked/>
    <w:rsid w:val="007f229e"/>
    <w:rPr>
      <w:rFonts w:ascii="Times New Roman" w:hAnsi="Times New Roman" w:eastAsia="Times New Roman" w:cs="Times New Roman"/>
      <w:sz w:val="26"/>
      <w:szCs w:val="20"/>
      <w:lang w:eastAsia="ru-RU"/>
    </w:rPr>
  </w:style>
  <w:style w:type="character" w:styleId="Style12" w:customStyle="1">
    <w:name w:val="Основной текст с отступом Знак"/>
    <w:basedOn w:val="DefaultParagraphFont"/>
    <w:uiPriority w:val="99"/>
    <w:qFormat/>
    <w:rsid w:val="00cf2872"/>
    <w:rPr>
      <w:rFonts w:ascii="Times New Roman" w:hAnsi="Times New Roman" w:eastAsia="Times New Roman" w:cs="Times New Roman"/>
      <w:szCs w:val="20"/>
      <w:lang w:eastAsia="ru-RU"/>
    </w:rPr>
  </w:style>
  <w:style w:type="character" w:styleId="Style13" w:customStyle="1">
    <w:name w:val="Основной текст Знак"/>
    <w:basedOn w:val="DefaultParagraphFont"/>
    <w:uiPriority w:val="99"/>
    <w:semiHidden/>
    <w:qFormat/>
    <w:rsid w:val="008d483b"/>
    <w:rPr>
      <w:rFonts w:ascii="Times New Roman" w:hAnsi="Times New Roman" w:eastAsia="Times New Roman" w:cs="Times New Roman"/>
      <w:sz w:val="26"/>
      <w:szCs w:val="20"/>
      <w:lang w:eastAsia="ru-RU"/>
    </w:rPr>
  </w:style>
  <w:style w:type="character" w:styleId="Internetlink" w:customStyle="1">
    <w:name w:val="Internet link"/>
    <w:qFormat/>
    <w:rsid w:val="009c0473"/>
    <w:rPr>
      <w:color w:val="0000FF"/>
      <w:u w:val="single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uiPriority w:val="99"/>
    <w:semiHidden/>
    <w:unhideWhenUsed/>
    <w:rsid w:val="008d483b"/>
    <w:pPr>
      <w:spacing w:before="6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BalloonText">
    <w:name w:val="Balloon Text"/>
    <w:basedOn w:val="Normal"/>
    <w:uiPriority w:val="99"/>
    <w:semiHidden/>
    <w:unhideWhenUsed/>
    <w:qFormat/>
    <w:rsid w:val="006a159d"/>
    <w:pPr>
      <w:spacing w:before="0" w:after="0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973cf"/>
    <w:pPr>
      <w:spacing w:before="60" w:after="0"/>
      <w:ind w:left="720" w:hanging="0"/>
      <w:contextualSpacing/>
    </w:pPr>
    <w:rPr/>
  </w:style>
  <w:style w:type="paragraph" w:styleId="Annotationtext">
    <w:name w:val="annotation text"/>
    <w:basedOn w:val="Normal"/>
    <w:uiPriority w:val="99"/>
    <w:semiHidden/>
    <w:unhideWhenUsed/>
    <w:qFormat/>
    <w:rsid w:val="009c2f8b"/>
    <w:pPr/>
    <w:rPr>
      <w:sz w:val="20"/>
    </w:rPr>
  </w:style>
  <w:style w:type="paragraph" w:styleId="Annotationsubject">
    <w:name w:val="annotation subject"/>
    <w:basedOn w:val="Annotationtext"/>
    <w:uiPriority w:val="99"/>
    <w:semiHidden/>
    <w:unhideWhenUsed/>
    <w:qFormat/>
    <w:rsid w:val="009c2f8b"/>
    <w:pPr/>
    <w:rPr>
      <w:b/>
      <w:bCs/>
    </w:rPr>
  </w:style>
  <w:style w:type="paragraph" w:styleId="Style17" w:customStyle="1">
    <w:name w:val="Знак Знак Знак Знак Знак Знак"/>
    <w:basedOn w:val="Normal"/>
    <w:qFormat/>
    <w:rsid w:val="00093c4f"/>
    <w:pPr>
      <w:spacing w:lineRule="exact" w:line="240" w:before="0" w:after="160"/>
    </w:pPr>
    <w:rPr>
      <w:rFonts w:ascii="Verdana" w:hAnsi="Verdana"/>
      <w:sz w:val="20"/>
      <w:lang w:val="en-US" w:eastAsia="en-US"/>
    </w:rPr>
  </w:style>
  <w:style w:type="paragraph" w:styleId="BodyTextIndent">
    <w:name w:val="Body Text Indent"/>
    <w:basedOn w:val="Normal"/>
    <w:uiPriority w:val="99"/>
    <w:rsid w:val="00cf2872"/>
    <w:pPr>
      <w:spacing w:before="60" w:after="120"/>
      <w:ind w:left="283" w:hanging="0"/>
      <w:jc w:val="left"/>
    </w:pPr>
    <w:rPr>
      <w:sz w:val="22"/>
    </w:rPr>
  </w:style>
  <w:style w:type="paragraph" w:styleId="Default" w:customStyle="1">
    <w:name w:val="Default"/>
    <w:qFormat/>
    <w:rsid w:val="008d483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Style18" w:customStyle="1">
    <w:name w:val="Колонтитул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Standard" w:customStyle="1">
    <w:name w:val="Standard"/>
    <w:qFormat/>
    <w:rsid w:val="009c0473"/>
    <w:pPr>
      <w:widowControl/>
      <w:suppressAutoHyphens w:val="true"/>
      <w:bidi w:val="0"/>
      <w:spacing w:before="0" w:after="0"/>
      <w:jc w:val="both"/>
      <w:textAlignment w:val="baseline"/>
    </w:pPr>
    <w:rPr>
      <w:rFonts w:ascii="Times New Roman" w:hAnsi="Times New Roman" w:eastAsia="Calibri" w:cs="Times New Roman" w:eastAsiaTheme="minorHAnsi"/>
      <w:color w:val="auto"/>
      <w:kern w:val="2"/>
      <w:sz w:val="26"/>
      <w:szCs w:val="26"/>
      <w:lang w:val="ru-RU" w:eastAsia="zh-CN" w:bidi="ar-SA"/>
    </w:rPr>
  </w:style>
  <w:style w:type="paragraph" w:styleId="Style19">
    <w:name w:val="Содержимое таблицы"/>
    <w:basedOn w:val="Normal"/>
    <w:qFormat/>
    <w:pPr>
      <w:widowControl w:val="false"/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paragraph" w:styleId="Style2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39"/>
    <w:rsid w:val="00066ee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4FA2C-8EC3-44F1-8B7A-F1B14CDFE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Application>AlterOffice/3.3.0.4$Linux_X86_64 LibreOffice_project/fa736b558560ebea8f92088bfd7720f4b3918f3f</Application>
  <AppVersion>15.0000</AppVersion>
  <Pages>6</Pages>
  <Words>1114</Words>
  <Characters>7127</Characters>
  <CharactersWithSpaces>8076</CharactersWithSpaces>
  <Paragraphs>305</Paragraphs>
  <Company>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2025-05-28T04:42:00Z</dcterms:created>
  <dc:creator>Коваленко Александр Олегович</dc:creator>
  <dc:description/>
  <dc:language>ru-RU</dc:language>
  <cp:lastModifiedBy>getov_yud</cp:lastModifiedBy>
  <cp:lastPrinted>2024-11-14T18:39:00Z</cp:lastPrinted>
  <dcterms:modified xsi:type="dcterms:W3CDTF">2026-01-14T13:59:00Z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